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758" w:rsidRDefault="00A32758" w:rsidP="00811182">
      <w:pPr>
        <w:spacing w:line="480" w:lineRule="auto"/>
        <w:jc w:val="center"/>
      </w:pPr>
    </w:p>
    <w:p w:rsidR="00913EB8" w:rsidRDefault="00913EB8" w:rsidP="00811182">
      <w:pPr>
        <w:spacing w:line="480" w:lineRule="auto"/>
        <w:jc w:val="center"/>
      </w:pPr>
    </w:p>
    <w:p w:rsidR="00913EB8" w:rsidRDefault="00913EB8" w:rsidP="00811182">
      <w:pPr>
        <w:spacing w:line="480" w:lineRule="auto"/>
        <w:jc w:val="center"/>
      </w:pPr>
    </w:p>
    <w:p w:rsidR="00913EB8" w:rsidRDefault="00913EB8" w:rsidP="00811182">
      <w:pPr>
        <w:spacing w:line="480" w:lineRule="auto"/>
        <w:jc w:val="center"/>
      </w:pPr>
    </w:p>
    <w:p w:rsidR="00913EB8" w:rsidRDefault="00913EB8" w:rsidP="00811182">
      <w:pPr>
        <w:spacing w:line="480" w:lineRule="auto"/>
        <w:jc w:val="center"/>
      </w:pPr>
    </w:p>
    <w:p w:rsidR="00913EB8" w:rsidRDefault="00913EB8" w:rsidP="00811182">
      <w:pPr>
        <w:spacing w:line="480" w:lineRule="auto"/>
        <w:jc w:val="center"/>
      </w:pPr>
    </w:p>
    <w:p w:rsidR="00913EB8" w:rsidRDefault="00913EB8" w:rsidP="00811182">
      <w:pPr>
        <w:spacing w:line="480" w:lineRule="auto"/>
        <w:jc w:val="center"/>
      </w:pPr>
    </w:p>
    <w:p w:rsidR="00913EB8" w:rsidRPr="00A83ABF" w:rsidRDefault="00913EB8" w:rsidP="00811182">
      <w:pPr>
        <w:spacing w:line="480" w:lineRule="auto"/>
        <w:ind w:firstLine="720"/>
        <w:jc w:val="center"/>
        <w:rPr>
          <w:rFonts w:ascii="Times New Roman" w:hAnsi="Times New Roman" w:cs="Times New Roman"/>
          <w:sz w:val="24"/>
          <w:szCs w:val="24"/>
        </w:rPr>
      </w:pPr>
      <w:r w:rsidRPr="00A83ABF">
        <w:rPr>
          <w:rFonts w:ascii="Times New Roman" w:hAnsi="Times New Roman" w:cs="Times New Roman"/>
          <w:sz w:val="24"/>
          <w:szCs w:val="24"/>
        </w:rPr>
        <w:t>Monetary and Fiscal Polic</w:t>
      </w:r>
      <w:r>
        <w:rPr>
          <w:rFonts w:ascii="Times New Roman" w:hAnsi="Times New Roman" w:cs="Times New Roman"/>
          <w:sz w:val="24"/>
          <w:szCs w:val="24"/>
        </w:rPr>
        <w:t>ies</w:t>
      </w:r>
    </w:p>
    <w:p w:rsidR="00913EB8" w:rsidRPr="00A83ABF" w:rsidRDefault="00913EB8" w:rsidP="00811182">
      <w:pPr>
        <w:spacing w:line="480" w:lineRule="auto"/>
        <w:ind w:firstLine="720"/>
        <w:jc w:val="center"/>
        <w:rPr>
          <w:rFonts w:ascii="Times New Roman" w:hAnsi="Times New Roman" w:cs="Times New Roman"/>
          <w:sz w:val="24"/>
          <w:szCs w:val="24"/>
        </w:rPr>
      </w:pPr>
      <w:r w:rsidRPr="00A83ABF">
        <w:rPr>
          <w:rFonts w:ascii="Times New Roman" w:hAnsi="Times New Roman" w:cs="Times New Roman"/>
          <w:sz w:val="24"/>
          <w:szCs w:val="24"/>
        </w:rPr>
        <w:t>Student’s Name</w:t>
      </w:r>
    </w:p>
    <w:p w:rsidR="00913EB8" w:rsidRPr="00A83ABF" w:rsidRDefault="00913EB8" w:rsidP="00811182">
      <w:pPr>
        <w:spacing w:line="480" w:lineRule="auto"/>
        <w:ind w:firstLine="720"/>
        <w:jc w:val="center"/>
        <w:rPr>
          <w:rFonts w:ascii="Times New Roman" w:hAnsi="Times New Roman" w:cs="Times New Roman"/>
          <w:sz w:val="24"/>
          <w:szCs w:val="24"/>
        </w:rPr>
      </w:pPr>
      <w:r w:rsidRPr="00A83ABF">
        <w:rPr>
          <w:rFonts w:ascii="Times New Roman" w:hAnsi="Times New Roman" w:cs="Times New Roman"/>
          <w:sz w:val="24"/>
          <w:szCs w:val="24"/>
        </w:rPr>
        <w:t>Institution</w:t>
      </w:r>
    </w:p>
    <w:p w:rsidR="00913EB8" w:rsidRPr="00A83ABF" w:rsidRDefault="00913EB8" w:rsidP="00811182">
      <w:pPr>
        <w:spacing w:line="480" w:lineRule="auto"/>
        <w:ind w:firstLine="720"/>
        <w:jc w:val="center"/>
        <w:rPr>
          <w:rFonts w:ascii="Times New Roman" w:hAnsi="Times New Roman" w:cs="Times New Roman"/>
          <w:sz w:val="24"/>
          <w:szCs w:val="24"/>
        </w:rPr>
      </w:pPr>
      <w:r w:rsidRPr="00A83ABF">
        <w:rPr>
          <w:rFonts w:ascii="Times New Roman" w:hAnsi="Times New Roman" w:cs="Times New Roman"/>
          <w:sz w:val="24"/>
          <w:szCs w:val="24"/>
        </w:rPr>
        <w:t>Course</w:t>
      </w:r>
    </w:p>
    <w:p w:rsidR="00913EB8" w:rsidRPr="00A83ABF" w:rsidRDefault="00913EB8" w:rsidP="00811182">
      <w:pPr>
        <w:spacing w:line="480" w:lineRule="auto"/>
        <w:ind w:firstLine="720"/>
        <w:jc w:val="center"/>
        <w:rPr>
          <w:rFonts w:ascii="Times New Roman" w:hAnsi="Times New Roman" w:cs="Times New Roman"/>
          <w:sz w:val="24"/>
          <w:szCs w:val="24"/>
        </w:rPr>
      </w:pPr>
      <w:r w:rsidRPr="00A83ABF">
        <w:rPr>
          <w:rFonts w:ascii="Times New Roman" w:hAnsi="Times New Roman" w:cs="Times New Roman"/>
          <w:sz w:val="24"/>
          <w:szCs w:val="24"/>
        </w:rPr>
        <w:t>Professor’s Name</w:t>
      </w:r>
    </w:p>
    <w:p w:rsidR="00913EB8" w:rsidRPr="00A83ABF" w:rsidRDefault="00913EB8" w:rsidP="00811182">
      <w:pPr>
        <w:spacing w:line="480" w:lineRule="auto"/>
        <w:ind w:firstLine="720"/>
        <w:jc w:val="center"/>
        <w:rPr>
          <w:rFonts w:ascii="Times New Roman" w:hAnsi="Times New Roman" w:cs="Times New Roman"/>
          <w:sz w:val="24"/>
          <w:szCs w:val="24"/>
        </w:rPr>
      </w:pPr>
      <w:r w:rsidRPr="00A83ABF">
        <w:rPr>
          <w:rFonts w:ascii="Times New Roman" w:hAnsi="Times New Roman" w:cs="Times New Roman"/>
          <w:sz w:val="24"/>
          <w:szCs w:val="24"/>
        </w:rPr>
        <w:t>Date</w:t>
      </w:r>
    </w:p>
    <w:p w:rsidR="00913EB8" w:rsidRDefault="00913EB8" w:rsidP="00811182">
      <w:pPr>
        <w:spacing w:line="480" w:lineRule="auto"/>
        <w:jc w:val="center"/>
      </w:pPr>
    </w:p>
    <w:p w:rsidR="00913EB8" w:rsidRDefault="00913EB8" w:rsidP="00811182">
      <w:pPr>
        <w:spacing w:line="480" w:lineRule="auto"/>
        <w:jc w:val="center"/>
      </w:pPr>
    </w:p>
    <w:p w:rsidR="00913EB8" w:rsidRDefault="00913EB8" w:rsidP="00811182">
      <w:pPr>
        <w:spacing w:line="480" w:lineRule="auto"/>
        <w:jc w:val="center"/>
      </w:pPr>
    </w:p>
    <w:p w:rsidR="00913EB8" w:rsidRDefault="00913EB8" w:rsidP="00811182">
      <w:pPr>
        <w:spacing w:line="480" w:lineRule="auto"/>
      </w:pPr>
    </w:p>
    <w:p w:rsidR="00811182" w:rsidRDefault="00811182" w:rsidP="00811182">
      <w:pPr>
        <w:spacing w:line="480" w:lineRule="auto"/>
      </w:pPr>
    </w:p>
    <w:p w:rsidR="00913EB8" w:rsidRDefault="00913EB8" w:rsidP="00811182">
      <w:pPr>
        <w:spacing w:line="480" w:lineRule="auto"/>
        <w:jc w:val="center"/>
      </w:pPr>
    </w:p>
    <w:p w:rsidR="00913EB8" w:rsidRPr="00A83ABF" w:rsidRDefault="00913EB8" w:rsidP="00811182">
      <w:pPr>
        <w:spacing w:line="480" w:lineRule="auto"/>
        <w:ind w:firstLine="720"/>
        <w:jc w:val="center"/>
        <w:rPr>
          <w:rFonts w:ascii="Times New Roman" w:hAnsi="Times New Roman" w:cs="Times New Roman"/>
          <w:sz w:val="24"/>
          <w:szCs w:val="24"/>
        </w:rPr>
      </w:pPr>
      <w:r w:rsidRPr="00A83ABF">
        <w:rPr>
          <w:rFonts w:ascii="Times New Roman" w:hAnsi="Times New Roman" w:cs="Times New Roman"/>
          <w:sz w:val="24"/>
          <w:szCs w:val="24"/>
        </w:rPr>
        <w:lastRenderedPageBreak/>
        <w:t>Monetary and Fiscal Polic</w:t>
      </w:r>
      <w:r>
        <w:rPr>
          <w:rFonts w:ascii="Times New Roman" w:hAnsi="Times New Roman" w:cs="Times New Roman"/>
          <w:sz w:val="24"/>
          <w:szCs w:val="24"/>
        </w:rPr>
        <w:t>ies</w:t>
      </w:r>
    </w:p>
    <w:p w:rsidR="00913EB8" w:rsidRPr="00A83ABF" w:rsidRDefault="00913EB8" w:rsidP="00811182">
      <w:pPr>
        <w:spacing w:line="480" w:lineRule="auto"/>
        <w:ind w:firstLine="720"/>
        <w:rPr>
          <w:rFonts w:ascii="Times New Roman" w:hAnsi="Times New Roman" w:cs="Times New Roman"/>
          <w:sz w:val="24"/>
          <w:szCs w:val="24"/>
        </w:rPr>
      </w:pPr>
      <w:r w:rsidRPr="00A83ABF">
        <w:rPr>
          <w:rFonts w:ascii="Times New Roman" w:hAnsi="Times New Roman" w:cs="Times New Roman"/>
          <w:sz w:val="24"/>
          <w:szCs w:val="24"/>
        </w:rPr>
        <w:t>Monetary and fiscal policies help regulate economic activities over time. When the economy begins to overheat, slow down, or grow at a moderate rate, these policies can increase the economic growth rate</w:t>
      </w:r>
      <w:r>
        <w:rPr>
          <w:rFonts w:ascii="Times New Roman" w:hAnsi="Times New Roman" w:cs="Times New Roman"/>
          <w:sz w:val="24"/>
          <w:szCs w:val="24"/>
        </w:rPr>
        <w:t xml:space="preserve"> (Furman &amp; Summers, 2020)</w:t>
      </w:r>
      <w:r w:rsidRPr="00A83ABF">
        <w:rPr>
          <w:rFonts w:ascii="Times New Roman" w:hAnsi="Times New Roman" w:cs="Times New Roman"/>
          <w:sz w:val="24"/>
          <w:szCs w:val="24"/>
        </w:rPr>
        <w:t>. Again, in situations where the economy is in recession and performs below its possible gross domestic product, expansionary monetary and fiscal policies can stabilize the economy.</w:t>
      </w:r>
    </w:p>
    <w:p w:rsidR="00913EB8" w:rsidRPr="00A83ABF" w:rsidRDefault="00913EB8" w:rsidP="00811182">
      <w:pPr>
        <w:spacing w:before="240" w:line="480" w:lineRule="auto"/>
        <w:ind w:firstLine="720"/>
        <w:rPr>
          <w:rFonts w:ascii="Times New Roman" w:hAnsi="Times New Roman" w:cs="Times New Roman"/>
          <w:sz w:val="24"/>
          <w:szCs w:val="24"/>
        </w:rPr>
      </w:pPr>
      <w:r w:rsidRPr="00A83ABF">
        <w:rPr>
          <w:rFonts w:ascii="Times New Roman" w:hAnsi="Times New Roman" w:cs="Times New Roman"/>
          <w:sz w:val="24"/>
          <w:szCs w:val="24"/>
        </w:rPr>
        <w:t>When the inflation levels rise, it becomes inappropriate to use monetary and fiscal policies that accelerate the economic growth since this would lead to extreme inflation, which would threaten the economy's stability</w:t>
      </w:r>
      <w:r>
        <w:rPr>
          <w:rFonts w:ascii="Times New Roman" w:hAnsi="Times New Roman" w:cs="Times New Roman"/>
          <w:sz w:val="24"/>
          <w:szCs w:val="24"/>
        </w:rPr>
        <w:t xml:space="preserve"> (Furman &amp; Summers, 2020</w:t>
      </w:r>
      <w:r w:rsidRPr="00A83ABF">
        <w:rPr>
          <w:rFonts w:ascii="Times New Roman" w:hAnsi="Times New Roman" w:cs="Times New Roman"/>
          <w:sz w:val="24"/>
          <w:szCs w:val="24"/>
        </w:rPr>
        <w:t>. It is also inappropriate to apply fiscal and monetary policies to stabilize the economy when the economic growth rate is high, and inflation is arguably sustainable.</w:t>
      </w:r>
    </w:p>
    <w:p w:rsidR="00913EB8" w:rsidRPr="00A83ABF" w:rsidRDefault="00913EB8" w:rsidP="00811182">
      <w:pPr>
        <w:spacing w:line="480" w:lineRule="auto"/>
        <w:ind w:firstLine="720"/>
        <w:rPr>
          <w:rFonts w:ascii="Times New Roman" w:hAnsi="Times New Roman" w:cs="Times New Roman"/>
          <w:sz w:val="24"/>
          <w:szCs w:val="24"/>
        </w:rPr>
      </w:pPr>
      <w:r w:rsidRPr="00A83ABF">
        <w:rPr>
          <w:rFonts w:ascii="Times New Roman" w:hAnsi="Times New Roman" w:cs="Times New Roman"/>
          <w:sz w:val="24"/>
          <w:szCs w:val="24"/>
        </w:rPr>
        <w:t>To stimulate aggregate demand, government spending, transfer payments, and taxation become the crucial fiscal policy tools to adjust. Shifts in government spending and taxation influence employment and family income, affecting consumers' investment and expenditure and investment expenditure on business capital goods. In this way, good fiscal tools such as reduced taxation and increased government spending on public goods and services positively impact people's spending and investment capabilities, increasing the total demand for goods and services in the economy.</w:t>
      </w:r>
    </w:p>
    <w:p w:rsidR="00913EB8" w:rsidRPr="00A83ABF" w:rsidRDefault="00913EB8" w:rsidP="00811182">
      <w:pPr>
        <w:spacing w:line="480" w:lineRule="auto"/>
        <w:ind w:firstLine="720"/>
        <w:rPr>
          <w:rFonts w:ascii="Times New Roman" w:hAnsi="Times New Roman" w:cs="Times New Roman"/>
          <w:sz w:val="24"/>
          <w:szCs w:val="24"/>
        </w:rPr>
      </w:pPr>
      <w:r w:rsidRPr="00A83ABF">
        <w:rPr>
          <w:rFonts w:ascii="Times New Roman" w:hAnsi="Times New Roman" w:cs="Times New Roman"/>
          <w:sz w:val="24"/>
          <w:szCs w:val="24"/>
        </w:rPr>
        <w:t>The relevant monetary policy tools to increase aggregate demand are open market operations, discount rates, and reserve requirements</w:t>
      </w:r>
      <w:r>
        <w:rPr>
          <w:rFonts w:ascii="Times New Roman" w:hAnsi="Times New Roman" w:cs="Times New Roman"/>
          <w:sz w:val="24"/>
          <w:szCs w:val="24"/>
        </w:rPr>
        <w:t xml:space="preserve"> (Furman &amp; Summers, 2020)</w:t>
      </w:r>
      <w:r w:rsidRPr="00A83ABF">
        <w:rPr>
          <w:rFonts w:ascii="Times New Roman" w:hAnsi="Times New Roman" w:cs="Times New Roman"/>
          <w:sz w:val="24"/>
          <w:szCs w:val="24"/>
        </w:rPr>
        <w:t>. Here, open market operations are the most effective tools since it is flexible. These tools increase aggregate demand by enhancing the growth of the money supply.</w:t>
      </w:r>
    </w:p>
    <w:p w:rsidR="00913EB8" w:rsidRPr="00A83ABF" w:rsidRDefault="00913EB8" w:rsidP="00811182">
      <w:pPr>
        <w:spacing w:line="480" w:lineRule="auto"/>
        <w:ind w:firstLine="720"/>
        <w:rPr>
          <w:rFonts w:ascii="Times New Roman" w:hAnsi="Times New Roman" w:cs="Times New Roman"/>
          <w:sz w:val="24"/>
          <w:szCs w:val="24"/>
        </w:rPr>
      </w:pPr>
      <w:r w:rsidRPr="00A83ABF">
        <w:rPr>
          <w:rFonts w:ascii="Times New Roman" w:hAnsi="Times New Roman" w:cs="Times New Roman"/>
          <w:sz w:val="24"/>
          <w:szCs w:val="24"/>
        </w:rPr>
        <w:lastRenderedPageBreak/>
        <w:t>In conclusion, policymakers must use relevant and effective fiscal and monetary policy tools to improve the aggregate demand. The reason is that enhancing the aggregate demand is the surest way to achieve a stable and rapidly growing economy which translates to increased investment levels, leading to more employment opportunities.</w:t>
      </w:r>
    </w:p>
    <w:p w:rsidR="00913EB8" w:rsidRDefault="00913EB8" w:rsidP="00811182">
      <w:pPr>
        <w:spacing w:line="480" w:lineRule="auto"/>
      </w:pPr>
      <w:r>
        <w:br w:type="page"/>
      </w:r>
    </w:p>
    <w:p w:rsidR="00913EB8" w:rsidRPr="00A83ABF" w:rsidRDefault="00913EB8" w:rsidP="00811182">
      <w:pPr>
        <w:spacing w:line="480" w:lineRule="auto"/>
        <w:ind w:firstLine="720"/>
        <w:jc w:val="center"/>
        <w:rPr>
          <w:rFonts w:ascii="Times New Roman" w:hAnsi="Times New Roman" w:cs="Times New Roman"/>
          <w:sz w:val="24"/>
          <w:szCs w:val="24"/>
        </w:rPr>
      </w:pPr>
      <w:r w:rsidRPr="00A83ABF">
        <w:rPr>
          <w:rFonts w:ascii="Times New Roman" w:hAnsi="Times New Roman" w:cs="Times New Roman"/>
          <w:sz w:val="24"/>
          <w:szCs w:val="24"/>
        </w:rPr>
        <w:lastRenderedPageBreak/>
        <w:t>References</w:t>
      </w:r>
    </w:p>
    <w:p w:rsidR="00913EB8" w:rsidRPr="00A83ABF" w:rsidRDefault="00913EB8" w:rsidP="00811182">
      <w:pPr>
        <w:spacing w:line="480" w:lineRule="auto"/>
        <w:ind w:left="720" w:hanging="720"/>
        <w:rPr>
          <w:rFonts w:ascii="Times New Roman" w:hAnsi="Times New Roman" w:cs="Times New Roman"/>
          <w:sz w:val="24"/>
          <w:szCs w:val="24"/>
        </w:rPr>
      </w:pPr>
      <w:r w:rsidRPr="00A83ABF">
        <w:rPr>
          <w:rFonts w:ascii="Times New Roman" w:hAnsi="Times New Roman" w:cs="Times New Roman"/>
          <w:color w:val="222222"/>
          <w:sz w:val="24"/>
          <w:szCs w:val="24"/>
          <w:shd w:val="clear" w:color="auto" w:fill="FFFFFF"/>
        </w:rPr>
        <w:t xml:space="preserve">Furman, J., &amp; Summers, L. (2020). A reconsideration of fiscal policy in the era of low-interest rates. </w:t>
      </w:r>
      <w:r w:rsidRPr="00A83ABF">
        <w:rPr>
          <w:rFonts w:ascii="Times New Roman" w:hAnsi="Times New Roman" w:cs="Times New Roman"/>
          <w:i/>
          <w:iCs/>
          <w:color w:val="222222"/>
          <w:sz w:val="24"/>
          <w:szCs w:val="24"/>
          <w:shd w:val="clear" w:color="auto" w:fill="FFFFFF"/>
        </w:rPr>
        <w:t>Unpublished manuscript, Harvard University and Peterson Institute for International Economics</w:t>
      </w:r>
      <w:r w:rsidRPr="00A83ABF">
        <w:rPr>
          <w:rFonts w:ascii="Times New Roman" w:hAnsi="Times New Roman" w:cs="Times New Roman"/>
          <w:color w:val="222222"/>
          <w:sz w:val="24"/>
          <w:szCs w:val="24"/>
          <w:shd w:val="clear" w:color="auto" w:fill="FFFFFF"/>
        </w:rPr>
        <w:t>.</w:t>
      </w:r>
    </w:p>
    <w:p w:rsidR="00913EB8" w:rsidRDefault="00913EB8" w:rsidP="00811182">
      <w:pPr>
        <w:spacing w:line="480" w:lineRule="auto"/>
        <w:jc w:val="center"/>
      </w:pPr>
    </w:p>
    <w:sectPr w:rsidR="00913EB8" w:rsidSect="00580226">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48F4" w:rsidRDefault="00D648F4" w:rsidP="00913EB8">
      <w:pPr>
        <w:spacing w:after="0" w:line="240" w:lineRule="auto"/>
      </w:pPr>
      <w:r>
        <w:separator/>
      </w:r>
    </w:p>
  </w:endnote>
  <w:endnote w:type="continuationSeparator" w:id="1">
    <w:p w:rsidR="00D648F4" w:rsidRDefault="00D648F4" w:rsidP="00913E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48F4" w:rsidRDefault="00D648F4" w:rsidP="00913EB8">
      <w:pPr>
        <w:spacing w:after="0" w:line="240" w:lineRule="auto"/>
      </w:pPr>
      <w:r>
        <w:separator/>
      </w:r>
    </w:p>
  </w:footnote>
  <w:footnote w:type="continuationSeparator" w:id="1">
    <w:p w:rsidR="00D648F4" w:rsidRDefault="00D648F4" w:rsidP="00913E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4788958"/>
      <w:docPartObj>
        <w:docPartGallery w:val="Page Numbers (Top of Page)"/>
        <w:docPartUnique/>
      </w:docPartObj>
    </w:sdtPr>
    <w:sdtEndPr>
      <w:rPr>
        <w:rFonts w:ascii="Times New Roman" w:hAnsi="Times New Roman" w:cs="Times New Roman"/>
        <w:noProof/>
        <w:sz w:val="24"/>
        <w:szCs w:val="24"/>
      </w:rPr>
    </w:sdtEndPr>
    <w:sdtContent>
      <w:p w:rsidR="00913EB8" w:rsidRPr="00913EB8" w:rsidRDefault="00AE7AB6">
        <w:pPr>
          <w:pStyle w:val="Header"/>
          <w:jc w:val="right"/>
          <w:rPr>
            <w:rFonts w:ascii="Times New Roman" w:hAnsi="Times New Roman" w:cs="Times New Roman"/>
            <w:sz w:val="24"/>
            <w:szCs w:val="24"/>
          </w:rPr>
        </w:pPr>
        <w:r w:rsidRPr="00913EB8">
          <w:rPr>
            <w:rFonts w:ascii="Times New Roman" w:hAnsi="Times New Roman" w:cs="Times New Roman"/>
            <w:sz w:val="24"/>
            <w:szCs w:val="24"/>
          </w:rPr>
          <w:fldChar w:fldCharType="begin"/>
        </w:r>
        <w:r w:rsidR="00913EB8" w:rsidRPr="00913EB8">
          <w:rPr>
            <w:rFonts w:ascii="Times New Roman" w:hAnsi="Times New Roman" w:cs="Times New Roman"/>
            <w:sz w:val="24"/>
            <w:szCs w:val="24"/>
          </w:rPr>
          <w:instrText xml:space="preserve"> PAGE   \* MERGEFORMAT </w:instrText>
        </w:r>
        <w:r w:rsidRPr="00913EB8">
          <w:rPr>
            <w:rFonts w:ascii="Times New Roman" w:hAnsi="Times New Roman" w:cs="Times New Roman"/>
            <w:sz w:val="24"/>
            <w:szCs w:val="24"/>
          </w:rPr>
          <w:fldChar w:fldCharType="separate"/>
        </w:r>
        <w:r w:rsidR="006E5CAF">
          <w:rPr>
            <w:rFonts w:ascii="Times New Roman" w:hAnsi="Times New Roman" w:cs="Times New Roman"/>
            <w:noProof/>
            <w:sz w:val="24"/>
            <w:szCs w:val="24"/>
          </w:rPr>
          <w:t>1</w:t>
        </w:r>
        <w:r w:rsidRPr="00913EB8">
          <w:rPr>
            <w:rFonts w:ascii="Times New Roman" w:hAnsi="Times New Roman" w:cs="Times New Roman"/>
            <w:noProof/>
            <w:sz w:val="24"/>
            <w:szCs w:val="24"/>
          </w:rPr>
          <w:fldChar w:fldCharType="end"/>
        </w:r>
      </w:p>
    </w:sdtContent>
  </w:sdt>
  <w:p w:rsidR="00913EB8" w:rsidRDefault="00913EB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20"/>
  <w:characterSpacingControl w:val="doNotCompress"/>
  <w:hdrShapeDefaults>
    <o:shapedefaults v:ext="edit" spidmax="8194"/>
  </w:hdrShapeDefaults>
  <w:footnotePr>
    <w:footnote w:id="0"/>
    <w:footnote w:id="1"/>
  </w:footnotePr>
  <w:endnotePr>
    <w:endnote w:id="0"/>
    <w:endnote w:id="1"/>
  </w:endnotePr>
  <w:compat/>
  <w:rsids>
    <w:rsidRoot w:val="00913EB8"/>
    <w:rsid w:val="001C3791"/>
    <w:rsid w:val="002B2B2B"/>
    <w:rsid w:val="00580226"/>
    <w:rsid w:val="006E5CAF"/>
    <w:rsid w:val="00811182"/>
    <w:rsid w:val="00913EB8"/>
    <w:rsid w:val="00A32758"/>
    <w:rsid w:val="00AE7AB6"/>
    <w:rsid w:val="00D33433"/>
    <w:rsid w:val="00D648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E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E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EB8"/>
  </w:style>
  <w:style w:type="paragraph" w:styleId="Footer">
    <w:name w:val="footer"/>
    <w:basedOn w:val="Normal"/>
    <w:link w:val="FooterChar"/>
    <w:uiPriority w:val="99"/>
    <w:unhideWhenUsed/>
    <w:rsid w:val="00913E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EB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355</Words>
  <Characters>2027</Characters>
  <Application>Microsoft Office Word</Application>
  <DocSecurity>0</DocSecurity>
  <Lines>16</Lines>
  <Paragraphs>4</Paragraphs>
  <ScaleCrop>false</ScaleCrop>
  <LinksUpToDate>false</LinksUpToDate>
  <CharactersWithSpaces>2378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2021-08-18T12:30:00Z</dcterms:created>
  <dcterms:modified xsi:type="dcterms:W3CDTF">2021-08-18T12:30:00Z</dcterms:modified>
</cp:coreProperties>
</file>